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F92" w:rsidRPr="00173635" w:rsidRDefault="006B2F92" w:rsidP="006B2F92">
      <w:pPr>
        <w:spacing w:before="60" w:after="60" w:line="264" w:lineRule="auto"/>
        <w:jc w:val="both"/>
        <w:rPr>
          <w:rFonts w:ascii="Verdana" w:hAnsi="Verdana"/>
          <w:sz w:val="20"/>
          <w:szCs w:val="20"/>
        </w:rPr>
      </w:pPr>
      <w:r w:rsidRPr="00173635">
        <w:rPr>
          <w:rFonts w:ascii="Verdana" w:hAnsi="Verdana"/>
          <w:noProof/>
          <w:sz w:val="20"/>
          <w:szCs w:val="20"/>
        </w:rPr>
        <w:drawing>
          <wp:inline distT="0" distB="0" distL="0" distR="0">
            <wp:extent cx="5044009" cy="1014632"/>
            <wp:effectExtent l="19050" t="0" r="4241" b="0"/>
            <wp:docPr id="2" name="Εικόνα 1" descr="EPEDBM 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DBM GR"/>
                    <pic:cNvPicPr>
                      <a:picLocks noChangeAspect="1" noChangeArrowheads="1"/>
                    </pic:cNvPicPr>
                  </pic:nvPicPr>
                  <pic:blipFill>
                    <a:blip r:embed="rId5"/>
                    <a:srcRect/>
                    <a:stretch>
                      <a:fillRect/>
                    </a:stretch>
                  </pic:blipFill>
                  <pic:spPr bwMode="auto">
                    <a:xfrm>
                      <a:off x="0" y="0"/>
                      <a:ext cx="5044504" cy="1014732"/>
                    </a:xfrm>
                    <a:prstGeom prst="rect">
                      <a:avLst/>
                    </a:prstGeom>
                    <a:noFill/>
                    <a:ln w="9525">
                      <a:noFill/>
                      <a:miter lim="800000"/>
                      <a:headEnd/>
                      <a:tailEnd/>
                    </a:ln>
                  </pic:spPr>
                </pic:pic>
              </a:graphicData>
            </a:graphic>
          </wp:inline>
        </w:drawing>
      </w:r>
    </w:p>
    <w:p w:rsidR="006B2F92" w:rsidRPr="00173635" w:rsidRDefault="006B2F92" w:rsidP="006B2F92">
      <w:pPr>
        <w:spacing w:before="60" w:after="60" w:line="264" w:lineRule="auto"/>
        <w:jc w:val="both"/>
        <w:rPr>
          <w:rFonts w:ascii="Verdana" w:hAnsi="Verdana"/>
          <w:sz w:val="20"/>
          <w:szCs w:val="20"/>
        </w:rPr>
      </w:pPr>
    </w:p>
    <w:p w:rsidR="006B2F92" w:rsidRPr="00173635" w:rsidRDefault="00D207E5" w:rsidP="006B2F92">
      <w:pPr>
        <w:spacing w:before="60" w:after="60" w:line="264" w:lineRule="auto"/>
        <w:jc w:val="right"/>
        <w:rPr>
          <w:rFonts w:ascii="Verdana" w:hAnsi="Verdana"/>
          <w:sz w:val="20"/>
          <w:szCs w:val="20"/>
        </w:rPr>
      </w:pPr>
      <w:r>
        <w:rPr>
          <w:rFonts w:ascii="Verdana" w:hAnsi="Verdana"/>
          <w:sz w:val="20"/>
          <w:szCs w:val="20"/>
        </w:rPr>
        <w:t>Πέμπτη</w:t>
      </w:r>
      <w:r w:rsidR="006B2F92" w:rsidRPr="00173635">
        <w:rPr>
          <w:rFonts w:ascii="Verdana" w:hAnsi="Verdana"/>
          <w:sz w:val="20"/>
          <w:szCs w:val="20"/>
        </w:rPr>
        <w:t xml:space="preserve">, </w:t>
      </w:r>
      <w:r>
        <w:rPr>
          <w:rFonts w:ascii="Verdana" w:hAnsi="Verdana"/>
          <w:sz w:val="20"/>
          <w:szCs w:val="20"/>
        </w:rPr>
        <w:t>19</w:t>
      </w:r>
      <w:r w:rsidR="00173635">
        <w:rPr>
          <w:rFonts w:ascii="Verdana" w:hAnsi="Verdana"/>
          <w:sz w:val="20"/>
          <w:szCs w:val="20"/>
        </w:rPr>
        <w:t xml:space="preserve"> Απριλίου 2012</w:t>
      </w:r>
    </w:p>
    <w:p w:rsidR="006B2F92" w:rsidRPr="00764D27" w:rsidRDefault="00764D27" w:rsidP="006B2F92">
      <w:pPr>
        <w:shd w:val="clear" w:color="auto" w:fill="BFBFBF" w:themeFill="background1" w:themeFillShade="BF"/>
        <w:jc w:val="both"/>
        <w:rPr>
          <w:rFonts w:ascii="Verdana" w:hAnsi="Verdana" w:cs="Courier New"/>
          <w:b/>
          <w:spacing w:val="20"/>
          <w:sz w:val="20"/>
          <w:szCs w:val="20"/>
        </w:rPr>
      </w:pPr>
      <w:r w:rsidRPr="00764D27">
        <w:rPr>
          <w:rFonts w:ascii="Verdana" w:hAnsi="Verdana" w:cs="Courier New"/>
          <w:b/>
          <w:spacing w:val="20"/>
          <w:sz w:val="20"/>
          <w:szCs w:val="20"/>
        </w:rPr>
        <w:t>ΑΝΑΚΟΙΝΩΣΗ ΕΙΔΙΚΗΣ ΓΡΑΜΜΑΤΕΩΣ ΕΥΡΩΠΑΪΚΩΝ ΠΟΡΩΝ:</w:t>
      </w:r>
    </w:p>
    <w:p w:rsidR="00764D27" w:rsidRDefault="00764D27" w:rsidP="006B2F92">
      <w:pPr>
        <w:shd w:val="clear" w:color="auto" w:fill="BFBFBF" w:themeFill="background1" w:themeFillShade="BF"/>
        <w:jc w:val="both"/>
        <w:rPr>
          <w:rFonts w:ascii="Verdana" w:hAnsi="Verdana" w:cs="Courier New"/>
          <w:b/>
          <w:sz w:val="20"/>
          <w:szCs w:val="20"/>
        </w:rPr>
      </w:pPr>
    </w:p>
    <w:p w:rsidR="006B2F92" w:rsidRPr="00173635" w:rsidRDefault="00764D27" w:rsidP="006B2F92">
      <w:pPr>
        <w:shd w:val="clear" w:color="auto" w:fill="BFBFBF" w:themeFill="background1" w:themeFillShade="BF"/>
        <w:jc w:val="both"/>
        <w:rPr>
          <w:rFonts w:ascii="Verdana" w:hAnsi="Verdana" w:cs="Courier New"/>
          <w:b/>
          <w:sz w:val="20"/>
          <w:szCs w:val="20"/>
        </w:rPr>
      </w:pPr>
      <w:r>
        <w:rPr>
          <w:rFonts w:ascii="Verdana" w:hAnsi="Verdana" w:cs="Courier New"/>
          <w:b/>
          <w:sz w:val="20"/>
          <w:szCs w:val="20"/>
        </w:rPr>
        <w:t xml:space="preserve">Νομοθετική Πρωτοβουλία για τη ρύθμιση των όρων παροχής υπηρεσιών σε έργα ΕΣΠΑ από εκπαιδευτικούς και δημοσίους υπαλλήλους (άρθρο 58 παρ.9 του Ν.4075/2012- Α 89) – </w:t>
      </w:r>
      <w:r w:rsidRPr="00764D27">
        <w:rPr>
          <w:rFonts w:ascii="Verdana" w:hAnsi="Verdana" w:cs="Courier New"/>
          <w:b/>
          <w:i/>
          <w:sz w:val="20"/>
          <w:szCs w:val="20"/>
        </w:rPr>
        <w:t>Παροχή υπηρεσιών ως ιδιωτικό έργο σ</w:t>
      </w:r>
      <w:r>
        <w:rPr>
          <w:rFonts w:ascii="Verdana" w:hAnsi="Verdana" w:cs="Courier New"/>
          <w:b/>
          <w:i/>
          <w:sz w:val="20"/>
          <w:szCs w:val="20"/>
        </w:rPr>
        <w:t>ύμφωνα με το Δ</w:t>
      </w:r>
      <w:r w:rsidRPr="00764D27">
        <w:rPr>
          <w:rFonts w:ascii="Verdana" w:hAnsi="Verdana" w:cs="Courier New"/>
          <w:b/>
          <w:i/>
          <w:sz w:val="20"/>
          <w:szCs w:val="20"/>
        </w:rPr>
        <w:t xml:space="preserve">ημοσιοϋπαλληλικό </w:t>
      </w:r>
      <w:r>
        <w:rPr>
          <w:rFonts w:ascii="Verdana" w:hAnsi="Verdana" w:cs="Courier New"/>
          <w:b/>
          <w:i/>
          <w:sz w:val="20"/>
          <w:szCs w:val="20"/>
        </w:rPr>
        <w:t>Κ</w:t>
      </w:r>
      <w:r w:rsidRPr="00764D27">
        <w:rPr>
          <w:rFonts w:ascii="Verdana" w:hAnsi="Verdana" w:cs="Courier New"/>
          <w:b/>
          <w:i/>
          <w:sz w:val="20"/>
          <w:szCs w:val="20"/>
        </w:rPr>
        <w:t>ώδικα</w:t>
      </w:r>
    </w:p>
    <w:p w:rsidR="006B2F92" w:rsidRPr="00173635" w:rsidRDefault="006B2F92" w:rsidP="006B2F92">
      <w:pPr>
        <w:shd w:val="clear" w:color="auto" w:fill="BFBFBF" w:themeFill="background1" w:themeFillShade="BF"/>
        <w:jc w:val="both"/>
        <w:rPr>
          <w:rFonts w:ascii="Verdana" w:hAnsi="Verdana"/>
          <w:sz w:val="20"/>
          <w:szCs w:val="20"/>
        </w:rPr>
      </w:pPr>
    </w:p>
    <w:p w:rsidR="006B2F92" w:rsidRPr="00173635" w:rsidRDefault="006B2F92" w:rsidP="00FA460B">
      <w:pPr>
        <w:jc w:val="both"/>
        <w:rPr>
          <w:rFonts w:ascii="Verdana" w:hAnsi="Verdana"/>
          <w:sz w:val="20"/>
          <w:szCs w:val="20"/>
        </w:rPr>
      </w:pPr>
    </w:p>
    <w:p w:rsidR="002F47EF" w:rsidRDefault="002F47EF" w:rsidP="00764D27">
      <w:pPr>
        <w:spacing w:before="100"/>
        <w:jc w:val="both"/>
        <w:rPr>
          <w:rFonts w:ascii="Verdana" w:hAnsi="Verdana"/>
          <w:sz w:val="20"/>
          <w:szCs w:val="20"/>
        </w:rPr>
      </w:pPr>
      <w:r>
        <w:rPr>
          <w:rFonts w:ascii="Verdana" w:hAnsi="Verdana"/>
          <w:sz w:val="20"/>
          <w:szCs w:val="20"/>
        </w:rPr>
        <w:t xml:space="preserve">Στο πλαίσιο της συστηματικής προσπάθειας απλοποίησης διαδικασιών και επιτάχυνσης του ΕΣΠΑ </w:t>
      </w:r>
      <w:r w:rsidR="00E050D9">
        <w:rPr>
          <w:rFonts w:ascii="Verdana" w:hAnsi="Verdana"/>
          <w:sz w:val="20"/>
          <w:szCs w:val="20"/>
        </w:rPr>
        <w:t>που έχει αναληφθεί από το Υπουργείο</w:t>
      </w:r>
      <w:r>
        <w:rPr>
          <w:rFonts w:ascii="Verdana" w:hAnsi="Verdana"/>
          <w:sz w:val="20"/>
          <w:szCs w:val="20"/>
        </w:rPr>
        <w:t xml:space="preserve"> Ανάπτυξης, με τη συνδρομή του Υπουργείου μας και του Υπουργείου Εργασίας </w:t>
      </w:r>
      <w:r>
        <w:rPr>
          <w:rFonts w:ascii="Verdana" w:hAnsi="Verdana"/>
          <w:i/>
          <w:sz w:val="20"/>
          <w:szCs w:val="20"/>
        </w:rPr>
        <w:t>(που διαχειρίζονται έργα Ευρωπαϊκού Κοινωνικού Ταμείου)</w:t>
      </w:r>
      <w:r>
        <w:rPr>
          <w:rFonts w:ascii="Verdana" w:hAnsi="Verdana"/>
          <w:sz w:val="20"/>
          <w:szCs w:val="20"/>
        </w:rPr>
        <w:t xml:space="preserve">, ψηφίσθηκε άλλη μία διάταξη για την απλοποίηση του θεσμικού πλαισίου και την ελάφρυνση του διαδικαστικού φόρτου, ώστε να επιταχυνθεί η υλοποίηση των έργων του ΕΣΠΑ και ιδίως των έργων του Ευρωπαϊκού Κοινωνικού Ταμείου. </w:t>
      </w:r>
    </w:p>
    <w:p w:rsidR="002F47EF" w:rsidRDefault="002F47EF" w:rsidP="00764D27">
      <w:pPr>
        <w:spacing w:before="100"/>
        <w:jc w:val="both"/>
        <w:rPr>
          <w:rFonts w:ascii="Verdana" w:hAnsi="Verdana"/>
          <w:sz w:val="20"/>
          <w:szCs w:val="20"/>
        </w:rPr>
      </w:pPr>
      <w:r w:rsidRPr="00F60BD5">
        <w:rPr>
          <w:rFonts w:ascii="Verdana" w:hAnsi="Verdana"/>
          <w:sz w:val="20"/>
          <w:szCs w:val="20"/>
          <w:u w:val="single"/>
        </w:rPr>
        <w:t>Η διάταξη αφορά τους όρους υπό τους οποίους οι εκπαιδευτικοί και εν γένει οι δημόσιοι υπάλληλοι παρέχουν τις υπηρεσίες τους, σε όλους ανεξαιρέτως τους φορείς υλοποίησης έργων του ΕΣΠΑ</w:t>
      </w:r>
      <w:r>
        <w:rPr>
          <w:rFonts w:ascii="Verdana" w:hAnsi="Verdana"/>
          <w:sz w:val="20"/>
          <w:szCs w:val="20"/>
        </w:rPr>
        <w:t xml:space="preserve"> και προωθήθηκε, κατόπιν επισταμένης εξέτασης του θέματος</w:t>
      </w:r>
      <w:r w:rsidR="00F60BD5">
        <w:rPr>
          <w:rFonts w:ascii="Verdana" w:hAnsi="Verdana"/>
          <w:sz w:val="20"/>
          <w:szCs w:val="20"/>
        </w:rPr>
        <w:t>,</w:t>
      </w:r>
      <w:r>
        <w:rPr>
          <w:rFonts w:ascii="Verdana" w:hAnsi="Verdana"/>
          <w:sz w:val="20"/>
          <w:szCs w:val="20"/>
        </w:rPr>
        <w:t xml:space="preserve"> από την Υπουργό Ανάπτυξης (αρμόδια για το ΕΣΠΑ) και τον Υπουργό Εργασίας (αρμόδιο για τα έργα ΕΣΠΑ, Ευρωπαϊκού Κοινωνικού Ταμείου). </w:t>
      </w:r>
      <w:r w:rsidR="00F60BD5">
        <w:rPr>
          <w:rFonts w:ascii="Verdana" w:hAnsi="Verdana"/>
          <w:sz w:val="20"/>
          <w:szCs w:val="20"/>
        </w:rPr>
        <w:t>Το Υπουργείο Παιδείας στάθηκε αρωγός στην προσπάθεια αυτή δεδομένου ότι στο Επιχειρησιακό Πρόγραμμα «Εκπαίδευση &amp; Δια βίου Μάθηση» σημαντικότατος αριθμός έργων υλοποιούνται με την παροχή υπηρεσιών από εκπαιδευτικούς (επιμορφώσεις, εκπαιδευτικά προγράμματα κλπ) αλλά και από άλλους δημοσίους υπαλλήλους.</w:t>
      </w:r>
    </w:p>
    <w:p w:rsidR="00173635" w:rsidRPr="00F60BD5" w:rsidRDefault="00F60BD5" w:rsidP="00764D27">
      <w:pPr>
        <w:spacing w:before="100"/>
        <w:jc w:val="both"/>
        <w:rPr>
          <w:rFonts w:ascii="Verdana" w:hAnsi="Verdana" w:cs="Calibri"/>
          <w:i/>
          <w:sz w:val="20"/>
          <w:szCs w:val="20"/>
        </w:rPr>
      </w:pPr>
      <w:r>
        <w:rPr>
          <w:rFonts w:ascii="Verdana" w:hAnsi="Verdana"/>
          <w:sz w:val="20"/>
          <w:szCs w:val="20"/>
        </w:rPr>
        <w:t>Πρόκειται για τη</w:t>
      </w:r>
      <w:r w:rsidR="002F47EF">
        <w:rPr>
          <w:rFonts w:ascii="Verdana" w:hAnsi="Verdana"/>
          <w:sz w:val="20"/>
          <w:szCs w:val="20"/>
        </w:rPr>
        <w:t xml:space="preserve"> διάταξη </w:t>
      </w:r>
      <w:r>
        <w:rPr>
          <w:rFonts w:ascii="Verdana" w:hAnsi="Verdana"/>
          <w:sz w:val="20"/>
          <w:szCs w:val="20"/>
        </w:rPr>
        <w:t>της παραγράφου 9 του άρθρου 58 του πρόσφατου νόμου</w:t>
      </w:r>
      <w:r w:rsidR="002F47EF">
        <w:rPr>
          <w:rFonts w:ascii="Verdana" w:hAnsi="Verdana"/>
          <w:sz w:val="20"/>
          <w:szCs w:val="20"/>
        </w:rPr>
        <w:t xml:space="preserve"> Υπουργείου Εργασίας 4075/2012 «Κανονισμός ΙΚΑ ΕΤΑΜ και άλλες διατάξεις»</w:t>
      </w:r>
      <w:r>
        <w:rPr>
          <w:rFonts w:ascii="Verdana" w:hAnsi="Verdana"/>
          <w:sz w:val="20"/>
          <w:szCs w:val="20"/>
        </w:rPr>
        <w:t xml:space="preserve"> (Α 85), στο οποίο ορίζεται ότι</w:t>
      </w:r>
      <w:r w:rsidR="002F47EF">
        <w:rPr>
          <w:rFonts w:ascii="Verdana" w:hAnsi="Verdana"/>
          <w:sz w:val="20"/>
          <w:szCs w:val="20"/>
        </w:rPr>
        <w:t>:</w:t>
      </w:r>
      <w:r>
        <w:rPr>
          <w:rFonts w:ascii="Verdana" w:hAnsi="Verdana"/>
          <w:sz w:val="20"/>
          <w:szCs w:val="20"/>
        </w:rPr>
        <w:t xml:space="preserve"> </w:t>
      </w:r>
      <w:r w:rsidRPr="00F60BD5">
        <w:rPr>
          <w:rFonts w:ascii="Verdana" w:hAnsi="Verdana"/>
          <w:spacing w:val="20"/>
          <w:sz w:val="20"/>
          <w:szCs w:val="20"/>
        </w:rPr>
        <w:t>«</w:t>
      </w:r>
      <w:r w:rsidR="00173635" w:rsidRPr="00F60BD5">
        <w:rPr>
          <w:rFonts w:ascii="Verdana" w:hAnsi="Verdana" w:cs="Calibri"/>
          <w:bCs/>
          <w:i/>
          <w:spacing w:val="20"/>
          <w:sz w:val="20"/>
          <w:szCs w:val="20"/>
        </w:rPr>
        <w:t xml:space="preserve">Στο πλαίσιο του </w:t>
      </w:r>
      <w:proofErr w:type="spellStart"/>
      <w:r w:rsidR="00173635" w:rsidRPr="00F60BD5">
        <w:rPr>
          <w:rFonts w:ascii="Verdana" w:hAnsi="Verdana" w:cs="Calibri"/>
          <w:bCs/>
          <w:i/>
          <w:spacing w:val="20"/>
          <w:sz w:val="20"/>
          <w:szCs w:val="20"/>
        </w:rPr>
        <w:t>Εθνικου</w:t>
      </w:r>
      <w:r w:rsidR="00173635" w:rsidRPr="00F60BD5">
        <w:rPr>
          <w:rFonts w:ascii="Verdana" w:hAnsi="Verdana" w:cs="Calibri (Vietnamese)"/>
          <w:bCs/>
          <w:i/>
          <w:spacing w:val="20"/>
          <w:sz w:val="20"/>
          <w:szCs w:val="20"/>
        </w:rPr>
        <w:t>́</w:t>
      </w:r>
      <w:proofErr w:type="spellEnd"/>
      <w:r w:rsidR="00173635" w:rsidRPr="00F60BD5">
        <w:rPr>
          <w:rFonts w:ascii="Verdana" w:hAnsi="Verdana" w:cs="Calibri (Vietnamese)"/>
          <w:bCs/>
          <w:i/>
          <w:spacing w:val="20"/>
          <w:sz w:val="20"/>
          <w:szCs w:val="20"/>
        </w:rPr>
        <w:t xml:space="preserve"> </w:t>
      </w:r>
      <w:proofErr w:type="spellStart"/>
      <w:r w:rsidR="00173635" w:rsidRPr="00F60BD5">
        <w:rPr>
          <w:rFonts w:ascii="Verdana" w:hAnsi="Verdana" w:cs="Calibri"/>
          <w:bCs/>
          <w:i/>
          <w:spacing w:val="20"/>
          <w:sz w:val="20"/>
          <w:szCs w:val="20"/>
        </w:rPr>
        <w:t>Στρατηγικου</w:t>
      </w:r>
      <w:r w:rsidR="00173635" w:rsidRPr="00F60BD5">
        <w:rPr>
          <w:rFonts w:ascii="Verdana" w:hAnsi="Verdana" w:cs="Calibri (Vietnamese)"/>
          <w:bCs/>
          <w:i/>
          <w:spacing w:val="20"/>
          <w:sz w:val="20"/>
          <w:szCs w:val="20"/>
        </w:rPr>
        <w:t>́</w:t>
      </w:r>
      <w:proofErr w:type="spellEnd"/>
      <w:r w:rsidR="00173635" w:rsidRPr="00F60BD5">
        <w:rPr>
          <w:rFonts w:ascii="Verdana" w:hAnsi="Verdana" w:cs="Calibri (Vietnamese)"/>
          <w:bCs/>
          <w:i/>
          <w:spacing w:val="20"/>
          <w:sz w:val="20"/>
          <w:szCs w:val="20"/>
        </w:rPr>
        <w:t xml:space="preserve"> </w:t>
      </w:r>
      <w:proofErr w:type="spellStart"/>
      <w:r w:rsidR="00173635" w:rsidRPr="00F60BD5">
        <w:rPr>
          <w:rFonts w:ascii="Verdana" w:hAnsi="Verdana" w:cs="Calibri"/>
          <w:bCs/>
          <w:i/>
          <w:spacing w:val="20"/>
          <w:sz w:val="20"/>
          <w:szCs w:val="20"/>
        </w:rPr>
        <w:t>Πλαισι</w:t>
      </w:r>
      <w:r w:rsidR="00173635" w:rsidRPr="00F60BD5">
        <w:rPr>
          <w:rFonts w:ascii="Verdana" w:hAnsi="Verdana" w:cs="Calibri (Vietnamese)"/>
          <w:bCs/>
          <w:i/>
          <w:spacing w:val="20"/>
          <w:sz w:val="20"/>
          <w:szCs w:val="20"/>
        </w:rPr>
        <w:t>́</w:t>
      </w:r>
      <w:r w:rsidR="00173635" w:rsidRPr="00F60BD5">
        <w:rPr>
          <w:rFonts w:ascii="Verdana" w:hAnsi="Verdana" w:cs="Calibri"/>
          <w:bCs/>
          <w:i/>
          <w:spacing w:val="20"/>
          <w:sz w:val="20"/>
          <w:szCs w:val="20"/>
        </w:rPr>
        <w:t>ου</w:t>
      </w:r>
      <w:proofErr w:type="spellEnd"/>
      <w:r w:rsidR="00173635" w:rsidRPr="00F60BD5">
        <w:rPr>
          <w:rFonts w:ascii="Verdana" w:hAnsi="Verdana" w:cs="Calibri"/>
          <w:bCs/>
          <w:i/>
          <w:spacing w:val="20"/>
          <w:sz w:val="20"/>
          <w:szCs w:val="20"/>
        </w:rPr>
        <w:t xml:space="preserve"> </w:t>
      </w:r>
      <w:proofErr w:type="spellStart"/>
      <w:r w:rsidR="00173635" w:rsidRPr="00F60BD5">
        <w:rPr>
          <w:rFonts w:ascii="Verdana" w:hAnsi="Verdana" w:cs="Calibri"/>
          <w:bCs/>
          <w:i/>
          <w:spacing w:val="20"/>
          <w:sz w:val="20"/>
          <w:szCs w:val="20"/>
        </w:rPr>
        <w:t>Αναφορα</w:t>
      </w:r>
      <w:r w:rsidR="00173635" w:rsidRPr="00F60BD5">
        <w:rPr>
          <w:rFonts w:ascii="Verdana" w:hAnsi="Verdana" w:cs="Calibri (Vietnamese)"/>
          <w:bCs/>
          <w:i/>
          <w:spacing w:val="20"/>
          <w:sz w:val="20"/>
          <w:szCs w:val="20"/>
        </w:rPr>
        <w:t>́</w:t>
      </w:r>
      <w:r w:rsidR="00173635" w:rsidRPr="00F60BD5">
        <w:rPr>
          <w:rFonts w:ascii="Verdana" w:hAnsi="Verdana" w:cs="Calibri"/>
          <w:bCs/>
          <w:i/>
          <w:spacing w:val="20"/>
          <w:sz w:val="20"/>
          <w:szCs w:val="20"/>
        </w:rPr>
        <w:t>ς</w:t>
      </w:r>
      <w:proofErr w:type="spellEnd"/>
      <w:r w:rsidR="00173635" w:rsidRPr="00F60BD5">
        <w:rPr>
          <w:rFonts w:ascii="Verdana" w:hAnsi="Verdana" w:cs="Calibri"/>
          <w:bCs/>
          <w:i/>
          <w:spacing w:val="20"/>
          <w:sz w:val="20"/>
          <w:szCs w:val="20"/>
        </w:rPr>
        <w:t xml:space="preserve"> 2007−2013 (Ε.Σ.Π.Α.) και ιδίως στις συγχρηματοδοτούμενες πράξεις του Ευρωπαϊκού Κοινωνικού Ταμείου </w:t>
      </w:r>
      <w:r w:rsidR="00173635" w:rsidRPr="00F60BD5">
        <w:rPr>
          <w:rFonts w:ascii="Verdana" w:hAnsi="Verdana" w:cs="Calibri"/>
          <w:bCs/>
          <w:i/>
          <w:spacing w:val="20"/>
          <w:sz w:val="20"/>
          <w:szCs w:val="20"/>
          <w:u w:val="single"/>
        </w:rPr>
        <w:t>η παροχή υπηρεσιών από εκπαιδευτικούς και δημοσίους υπαλλήλους προς όλους ανεξαιρέτως τους φορείς υλοποίησης συγχρηματοδοτούμενων πράξεων γίνεται κατά τους όρους του άρθρου 31 του Ν.3528/2007 (Α 26), ως ιδιωτικό έργο</w:t>
      </w:r>
      <w:r w:rsidR="00173635" w:rsidRPr="00F60BD5">
        <w:rPr>
          <w:rFonts w:ascii="Verdana" w:hAnsi="Verdana" w:cs="Calibri"/>
          <w:bCs/>
          <w:i/>
          <w:spacing w:val="20"/>
          <w:sz w:val="20"/>
          <w:szCs w:val="20"/>
        </w:rPr>
        <w:t xml:space="preserve">. Οι διατάξεις των παραγράφων 1 έως 5 του άρθρου 55 του Ν.3966/2011 (Α 118) όπως και οι εκδοθείσες </w:t>
      </w:r>
      <w:proofErr w:type="spellStart"/>
      <w:r w:rsidR="00173635" w:rsidRPr="00F60BD5">
        <w:rPr>
          <w:rFonts w:ascii="Verdana" w:hAnsi="Verdana" w:cs="Calibri"/>
          <w:bCs/>
          <w:i/>
          <w:spacing w:val="20"/>
          <w:sz w:val="20"/>
          <w:szCs w:val="20"/>
        </w:rPr>
        <w:t>κατ'εξουσιοδότηση</w:t>
      </w:r>
      <w:proofErr w:type="spellEnd"/>
      <w:r w:rsidR="00173635" w:rsidRPr="00F60BD5">
        <w:rPr>
          <w:rFonts w:ascii="Verdana" w:hAnsi="Verdana" w:cs="Calibri"/>
          <w:bCs/>
          <w:i/>
          <w:spacing w:val="20"/>
          <w:sz w:val="20"/>
          <w:szCs w:val="20"/>
        </w:rPr>
        <w:t xml:space="preserve"> αυτών διοικητικές πράξεις καταργούνται αναδρομικά  από το χρόνο ισχύος τους.</w:t>
      </w:r>
      <w:r w:rsidRPr="00F60BD5">
        <w:rPr>
          <w:rFonts w:ascii="Verdana" w:hAnsi="Verdana" w:cs="Calibri"/>
          <w:bCs/>
          <w:i/>
          <w:spacing w:val="20"/>
          <w:sz w:val="20"/>
          <w:szCs w:val="20"/>
        </w:rPr>
        <w:t>»</w:t>
      </w:r>
    </w:p>
    <w:p w:rsidR="00F60BD5" w:rsidRDefault="00F60BD5" w:rsidP="0076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jc w:val="both"/>
        <w:rPr>
          <w:rFonts w:ascii="Verdana" w:hAnsi="Verdana"/>
          <w:sz w:val="20"/>
          <w:szCs w:val="20"/>
        </w:rPr>
      </w:pPr>
      <w:r>
        <w:rPr>
          <w:rFonts w:ascii="Verdana" w:hAnsi="Verdana"/>
          <w:sz w:val="20"/>
          <w:szCs w:val="20"/>
        </w:rPr>
        <w:t xml:space="preserve">Για την αιτιολόγηση της διάταξης αυτής αναφέρεται ότι: </w:t>
      </w:r>
    </w:p>
    <w:p w:rsidR="00173635" w:rsidRPr="00173635" w:rsidRDefault="00F60BD5" w:rsidP="0076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jc w:val="both"/>
        <w:rPr>
          <w:rFonts w:ascii="Verdana" w:hAnsi="Verdana" w:cs="Calibri"/>
          <w:i/>
          <w:sz w:val="20"/>
          <w:szCs w:val="20"/>
        </w:rPr>
      </w:pPr>
      <w:r>
        <w:rPr>
          <w:rFonts w:ascii="Verdana" w:hAnsi="Verdana"/>
          <w:sz w:val="20"/>
          <w:szCs w:val="20"/>
        </w:rPr>
        <w:t>Στ</w:t>
      </w:r>
      <w:r w:rsidR="00173635" w:rsidRPr="00173635">
        <w:rPr>
          <w:rFonts w:ascii="Verdana" w:hAnsi="Verdana"/>
          <w:sz w:val="20"/>
          <w:szCs w:val="20"/>
        </w:rPr>
        <w:t>ο πλαίσιο των συγχρηματοδοτούμενων έργων, πάγια από τις προηγούμενες προγραμματικές περιόδους Β’ και Γ’ ΚΠΣ και έως σήμερα, στο πλαίσιο του ΕΣΠΑ 2007 -2013 και ιδίως στις Πράξεις του Ευρωπαϊκού Κοινωνικού Ταμείου, η παροχή υπηρεσιών από δημοσίους υπαλλήλους στο πλαίσιο συγχρηματοδοτούμενων έργων γίνεται ως ιδιωτικό έργο υπό τους όρους και τους περιορισμούς του άρθρου 31 του Ν.3528/2007 (</w:t>
      </w:r>
      <w:r w:rsidR="00173635" w:rsidRPr="00173635">
        <w:rPr>
          <w:rFonts w:ascii="Verdana" w:hAnsi="Verdana" w:cs="Calibri"/>
          <w:i/>
          <w:sz w:val="20"/>
          <w:szCs w:val="20"/>
        </w:rPr>
        <w:t>«Κύρωση του Κώδικα Κατάστασης Δημοσίων Πολιτικών Διοικητικών Υπαλλήλων και Υπαλλήλων Ν.Π.Δ.Δ.» - Α 26</w:t>
      </w:r>
      <w:r w:rsidR="00173635" w:rsidRPr="00173635">
        <w:rPr>
          <w:rFonts w:ascii="Verdana" w:hAnsi="Verdana"/>
          <w:sz w:val="20"/>
          <w:szCs w:val="20"/>
        </w:rPr>
        <w:t xml:space="preserve">). </w:t>
      </w:r>
      <w:r>
        <w:rPr>
          <w:rFonts w:ascii="Verdana" w:hAnsi="Verdana"/>
          <w:sz w:val="20"/>
          <w:szCs w:val="20"/>
        </w:rPr>
        <w:t>Για</w:t>
      </w:r>
      <w:r w:rsidR="00173635" w:rsidRPr="00173635">
        <w:rPr>
          <w:rFonts w:ascii="Verdana" w:hAnsi="Verdana"/>
          <w:sz w:val="20"/>
          <w:szCs w:val="20"/>
        </w:rPr>
        <w:t xml:space="preserve"> να χορηγηθεί άδεια </w:t>
      </w:r>
      <w:r w:rsidR="00173635" w:rsidRPr="00173635">
        <w:rPr>
          <w:rFonts w:ascii="Verdana" w:hAnsi="Verdana"/>
          <w:sz w:val="20"/>
          <w:szCs w:val="20"/>
        </w:rPr>
        <w:lastRenderedPageBreak/>
        <w:t xml:space="preserve">παροχής ιδιωτικού έργου σε δημόσιο υπάλληλο από το αρμόδιο Υπηρεσιακό Συμβούλιο καθορίζονται περιοριστικοί χρονικοί και οικονομικοί όροι. Οι διατάξεις 1-5 του άρθρου 55 του Ν.3966/2011 (Α 118) που ρύθμισαν αποσπασματικά επιμέρους κατηγορίες παροχής ιδιωτικού έργου από δημοσίους υπαλλήλους (εκπαιδευτικούς και άλλους) προβλέποντας επιπρόσθετους περιορισμούς και ελέγχους, αποδείχθηκε στην πράξη ότι προκάλεσαν υπέρμετρες καθυστερήσεις και προκάλεσαν εντέλει μεγάλη ανασφάλεια δικαίου, υπονομεύοντας την ταχύτητα παραγωγής των έργων του ΕΣΠΑ, σε αντίθεση με την ισχύουσα στο ΕΣΠΑ αρχή </w:t>
      </w:r>
      <w:r w:rsidR="00173635" w:rsidRPr="00173635">
        <w:rPr>
          <w:rFonts w:ascii="Verdana" w:hAnsi="Verdana" w:cs="Calibri"/>
          <w:sz w:val="20"/>
          <w:szCs w:val="20"/>
        </w:rPr>
        <w:t xml:space="preserve">της </w:t>
      </w:r>
      <w:r w:rsidR="00173635" w:rsidRPr="00173635">
        <w:rPr>
          <w:rFonts w:ascii="Verdana" w:hAnsi="Verdana" w:cs="Calibri"/>
          <w:i/>
          <w:sz w:val="20"/>
          <w:szCs w:val="20"/>
        </w:rPr>
        <w:t>«γρήγορης παραγωγής έργων»</w:t>
      </w:r>
      <w:r w:rsidR="00173635" w:rsidRPr="00173635">
        <w:rPr>
          <w:rFonts w:ascii="Verdana" w:hAnsi="Verdana" w:cs="Calibri"/>
          <w:sz w:val="20"/>
          <w:szCs w:val="20"/>
        </w:rPr>
        <w:t xml:space="preserve"> (</w:t>
      </w:r>
      <w:r w:rsidR="00173635" w:rsidRPr="00173635">
        <w:rPr>
          <w:rFonts w:ascii="Verdana" w:hAnsi="Verdana" w:cs="Calibri"/>
          <w:i/>
          <w:sz w:val="20"/>
          <w:szCs w:val="20"/>
        </w:rPr>
        <w:t>όπως προβλέπεται ρητά Ν 3845/2010 Παρ. ΙΙΙ – Ελλάδα, Μνημόνιο Οικονομικής και Χρηματοπιστωτικής Πολιτικής, ΙΙΙ Οικονομικές Πολιτικές, Γ. Διαρθρωτικές Πολιτικές)</w:t>
      </w:r>
      <w:r w:rsidR="00173635" w:rsidRPr="00173635">
        <w:rPr>
          <w:rFonts w:ascii="Verdana" w:hAnsi="Verdana" w:cs="Calibri"/>
          <w:sz w:val="20"/>
          <w:szCs w:val="20"/>
        </w:rPr>
        <w:t xml:space="preserve"> που επιβάλει ταυτόχρονα σαφήνεια θεσμικού πλαισίου και ευελιξία διαδικασιών. </w:t>
      </w:r>
    </w:p>
    <w:p w:rsidR="00173635" w:rsidRPr="00173635" w:rsidRDefault="00173635" w:rsidP="00764D27">
      <w:pPr>
        <w:spacing w:before="100"/>
        <w:jc w:val="both"/>
        <w:rPr>
          <w:rFonts w:ascii="Verdana" w:hAnsi="Verdana" w:cs="Calibri"/>
          <w:sz w:val="20"/>
          <w:szCs w:val="20"/>
        </w:rPr>
      </w:pPr>
      <w:r w:rsidRPr="00173635">
        <w:rPr>
          <w:rFonts w:ascii="Verdana" w:hAnsi="Verdana" w:cs="Calibri"/>
          <w:sz w:val="20"/>
          <w:szCs w:val="20"/>
        </w:rPr>
        <w:t xml:space="preserve">Για το λόγο αυτό, με την διάταξη ορίζεται ρητά - για να επιτευχθεί ασφάλεια δικαίου - το ενιαίο καθεστώς παροχής υπηρεσιών για όλες τις πράξεις ΕΣΠΑ και προς όλους ανεξαιρέτως τους φορείς υλοποίησης από δημοσίους υπαλλήλους (αλλά και ο τρόπος ελέγχου των όρων παροχής υπηρεσιών σύμφωνα με την παράγραφο 2 του άρθρου 31 του Ν. 3528/2007) </w:t>
      </w:r>
      <w:r w:rsidRPr="00173635">
        <w:rPr>
          <w:rFonts w:ascii="Verdana" w:hAnsi="Verdana"/>
          <w:sz w:val="20"/>
          <w:szCs w:val="20"/>
        </w:rPr>
        <w:t xml:space="preserve">και καταργούνται αναδρομικά οι εντέλει αποσπασματικές και αναποτελεσματικές ρυθμίσεις </w:t>
      </w:r>
      <w:r w:rsidRPr="00173635">
        <w:rPr>
          <w:rFonts w:ascii="Verdana" w:hAnsi="Verdana" w:cs="Calibri"/>
          <w:sz w:val="20"/>
          <w:szCs w:val="20"/>
        </w:rPr>
        <w:t xml:space="preserve">των διατάξεων 1-5 του άρθρου 55 του Ν.3966/2011 και δεδομένης της αναδρομικής κατάργησης και οι </w:t>
      </w:r>
      <w:proofErr w:type="spellStart"/>
      <w:r w:rsidRPr="00173635">
        <w:rPr>
          <w:rFonts w:ascii="Verdana" w:hAnsi="Verdana" w:cs="Calibri"/>
          <w:sz w:val="20"/>
          <w:szCs w:val="20"/>
        </w:rPr>
        <w:t>κατ’εξουσιοδότηση</w:t>
      </w:r>
      <w:proofErr w:type="spellEnd"/>
      <w:r w:rsidRPr="00173635">
        <w:rPr>
          <w:rFonts w:ascii="Verdana" w:hAnsi="Verdana" w:cs="Calibri"/>
          <w:sz w:val="20"/>
          <w:szCs w:val="20"/>
        </w:rPr>
        <w:t xml:space="preserve"> εκδοθείσες διοικητικές πράξεις. </w:t>
      </w:r>
    </w:p>
    <w:p w:rsidR="00173635" w:rsidRPr="00F60BD5" w:rsidRDefault="00F60BD5" w:rsidP="00764D27">
      <w:pPr>
        <w:spacing w:before="100"/>
        <w:jc w:val="both"/>
        <w:rPr>
          <w:rFonts w:ascii="Verdana" w:hAnsi="Verdana" w:cs="Calibri"/>
          <w:sz w:val="20"/>
          <w:szCs w:val="20"/>
          <w:u w:val="single"/>
        </w:rPr>
      </w:pPr>
      <w:r>
        <w:rPr>
          <w:rFonts w:ascii="Verdana" w:hAnsi="Verdana" w:cs="Calibri"/>
          <w:sz w:val="20"/>
          <w:szCs w:val="20"/>
        </w:rPr>
        <w:t>Με τη διάταξη</w:t>
      </w:r>
      <w:r w:rsidR="00764D27">
        <w:rPr>
          <w:rFonts w:ascii="Verdana" w:hAnsi="Verdana" w:cs="Calibri"/>
          <w:sz w:val="20"/>
          <w:szCs w:val="20"/>
        </w:rPr>
        <w:t>, δηλαδή,</w:t>
      </w:r>
      <w:r>
        <w:rPr>
          <w:rFonts w:ascii="Verdana" w:hAnsi="Verdana" w:cs="Calibri"/>
          <w:sz w:val="20"/>
          <w:szCs w:val="20"/>
        </w:rPr>
        <w:t xml:space="preserve"> </w:t>
      </w:r>
      <w:r w:rsidR="00173635" w:rsidRPr="00F60BD5">
        <w:rPr>
          <w:rFonts w:ascii="Verdana" w:hAnsi="Verdana" w:cs="Calibri"/>
          <w:sz w:val="20"/>
          <w:szCs w:val="20"/>
          <w:u w:val="single"/>
        </w:rPr>
        <w:t>αποσαφηνίζεται και ρυθμίζεται ενιαία</w:t>
      </w:r>
      <w:r w:rsidR="00764D27">
        <w:rPr>
          <w:rFonts w:ascii="Verdana" w:hAnsi="Verdana" w:cs="Calibri"/>
          <w:sz w:val="20"/>
          <w:szCs w:val="20"/>
          <w:u w:val="single"/>
        </w:rPr>
        <w:t>,</w:t>
      </w:r>
      <w:r w:rsidR="00173635" w:rsidRPr="00F60BD5">
        <w:rPr>
          <w:rFonts w:ascii="Verdana" w:hAnsi="Verdana" w:cs="Calibri"/>
          <w:sz w:val="20"/>
          <w:szCs w:val="20"/>
          <w:u w:val="single"/>
        </w:rPr>
        <w:t xml:space="preserve"> χωρίς εξαιρέσεις</w:t>
      </w:r>
      <w:r w:rsidR="00764D27">
        <w:rPr>
          <w:rFonts w:ascii="Verdana" w:hAnsi="Verdana" w:cs="Calibri"/>
          <w:sz w:val="20"/>
          <w:szCs w:val="20"/>
          <w:u w:val="single"/>
        </w:rPr>
        <w:t>,</w:t>
      </w:r>
      <w:r w:rsidR="00173635" w:rsidRPr="00F60BD5">
        <w:rPr>
          <w:rFonts w:ascii="Verdana" w:hAnsi="Verdana" w:cs="Calibri"/>
          <w:sz w:val="20"/>
          <w:szCs w:val="20"/>
          <w:u w:val="single"/>
        </w:rPr>
        <w:t xml:space="preserve"> η νομική φύση του τρόπου παροχής υπηρεσιών στα έργα ΕΣΠΑ, παραπέμποντας στις ισχύουσες</w:t>
      </w:r>
      <w:r w:rsidRPr="00F60BD5">
        <w:rPr>
          <w:rFonts w:ascii="Verdana" w:hAnsi="Verdana" w:cs="Calibri"/>
          <w:sz w:val="20"/>
          <w:szCs w:val="20"/>
          <w:u w:val="single"/>
        </w:rPr>
        <w:t xml:space="preserve"> διατάξεις του </w:t>
      </w:r>
      <w:r>
        <w:rPr>
          <w:rFonts w:ascii="Verdana" w:hAnsi="Verdana" w:cs="Calibri"/>
          <w:sz w:val="20"/>
          <w:szCs w:val="20"/>
          <w:u w:val="single"/>
        </w:rPr>
        <w:t>Δημοσιοϋ</w:t>
      </w:r>
      <w:r w:rsidRPr="00F60BD5">
        <w:rPr>
          <w:rFonts w:ascii="Verdana" w:hAnsi="Verdana" w:cs="Calibri"/>
          <w:sz w:val="20"/>
          <w:szCs w:val="20"/>
          <w:u w:val="single"/>
        </w:rPr>
        <w:t>παλληλικού</w:t>
      </w:r>
      <w:r>
        <w:rPr>
          <w:rFonts w:ascii="Verdana" w:hAnsi="Verdana" w:cs="Calibri"/>
          <w:sz w:val="20"/>
          <w:szCs w:val="20"/>
          <w:u w:val="single"/>
        </w:rPr>
        <w:t xml:space="preserve"> Κ</w:t>
      </w:r>
      <w:r w:rsidR="00764D27">
        <w:rPr>
          <w:rFonts w:ascii="Verdana" w:hAnsi="Verdana" w:cs="Calibri"/>
          <w:sz w:val="20"/>
          <w:szCs w:val="20"/>
          <w:u w:val="single"/>
        </w:rPr>
        <w:t>ώδικα,</w:t>
      </w:r>
      <w:r w:rsidR="00764D27" w:rsidRPr="00764D27">
        <w:rPr>
          <w:rFonts w:ascii="Verdana" w:hAnsi="Verdana" w:cs="Calibri"/>
          <w:sz w:val="20"/>
          <w:szCs w:val="20"/>
        </w:rPr>
        <w:t xml:space="preserve"> καταργώντας διατάξεις που επέβαλαν πρόσθετες διαδικαστικές διατυπώσεις</w:t>
      </w:r>
      <w:r w:rsidR="00764D27">
        <w:rPr>
          <w:rFonts w:ascii="Verdana" w:hAnsi="Verdana" w:cs="Calibri"/>
          <w:sz w:val="20"/>
          <w:szCs w:val="20"/>
        </w:rPr>
        <w:t xml:space="preserve"> (με δεδομένο τον ήδη αυστηρό έλεγχο που επιβάλει το άρθρο 31 του Ν.3528/2007).</w:t>
      </w:r>
    </w:p>
    <w:p w:rsidR="006B2F92" w:rsidRDefault="00764D27" w:rsidP="00764D27">
      <w:pPr>
        <w:spacing w:before="100"/>
        <w:jc w:val="both"/>
        <w:rPr>
          <w:rFonts w:ascii="Verdana" w:hAnsi="Verdana"/>
          <w:b/>
          <w:sz w:val="20"/>
          <w:szCs w:val="20"/>
        </w:rPr>
      </w:pPr>
      <w:r>
        <w:rPr>
          <w:rFonts w:ascii="Verdana" w:hAnsi="Verdana"/>
          <w:b/>
          <w:sz w:val="20"/>
          <w:szCs w:val="20"/>
        </w:rPr>
        <w:t xml:space="preserve">Κατά συνέπεια σε όλα τα έργα του ΕΣΠΑ, δυνάμει της ως άνω διάταξης του άρθρου 58 παρ. 9 του Ν.4075/2012 (Α 89) </w:t>
      </w:r>
      <w:r>
        <w:rPr>
          <w:rFonts w:ascii="Verdana" w:hAnsi="Verdana"/>
          <w:sz w:val="20"/>
          <w:szCs w:val="20"/>
        </w:rPr>
        <w:t xml:space="preserve">(που είναι πλέον η μόνη ισχύουσα διάταξη για το ζήτημα) </w:t>
      </w:r>
      <w:r w:rsidR="00F60BD5">
        <w:rPr>
          <w:rFonts w:ascii="Verdana" w:hAnsi="Verdana"/>
          <w:b/>
          <w:sz w:val="20"/>
          <w:szCs w:val="20"/>
        </w:rPr>
        <w:t xml:space="preserve">για την παροχή υπηρεσιών από εκπαιδευτικούς και δημοσίους υπαλλήλους συνάπτεται σύμβαση ιδιωτικού δικαίου (για ιδιωτικό έργο) με τον εκάστοτε Φορέα Υλοποίησης, για την οποία </w:t>
      </w:r>
      <w:r w:rsidR="00F60BD5" w:rsidRPr="00F60BD5">
        <w:rPr>
          <w:rFonts w:ascii="Verdana" w:hAnsi="Verdana"/>
          <w:b/>
          <w:sz w:val="20"/>
          <w:szCs w:val="20"/>
          <w:u w:val="single"/>
        </w:rPr>
        <w:t>μόνη προϋπόθεση είναι να έχει ακολουθηθεί η διαδικασία του άρθρου 31 του Δημοσιοϋπαλληλικού Κώδικα, Ν.3528/2007</w:t>
      </w:r>
      <w:r w:rsidR="00F60BD5">
        <w:rPr>
          <w:rFonts w:ascii="Verdana" w:hAnsi="Verdana"/>
          <w:b/>
          <w:sz w:val="20"/>
          <w:szCs w:val="20"/>
        </w:rPr>
        <w:t xml:space="preserve"> (άδεια υπηρεσιακού συμβουλίου). Ισχύουν οι </w:t>
      </w:r>
      <w:r w:rsidR="00F60BD5" w:rsidRPr="00F60BD5">
        <w:rPr>
          <w:rFonts w:ascii="Verdana" w:hAnsi="Verdana"/>
          <w:b/>
          <w:sz w:val="20"/>
          <w:szCs w:val="20"/>
          <w:u w:val="single"/>
        </w:rPr>
        <w:t>συνταγματικά οριζόμενοι περιορισμοί στα όρια αμοιβών δημοσίων υπαλλήλων στο πλαίσιο ιδιωτικού έργου</w:t>
      </w:r>
      <w:r w:rsidR="00F60BD5">
        <w:rPr>
          <w:rFonts w:ascii="Verdana" w:hAnsi="Verdana"/>
          <w:b/>
          <w:sz w:val="20"/>
          <w:szCs w:val="20"/>
        </w:rPr>
        <w:t xml:space="preserve"> και όχι άλλοι περιορισμοί</w:t>
      </w:r>
      <w:r>
        <w:rPr>
          <w:rFonts w:ascii="Verdana" w:hAnsi="Verdana"/>
          <w:b/>
          <w:sz w:val="20"/>
          <w:szCs w:val="20"/>
        </w:rPr>
        <w:t>.</w:t>
      </w:r>
    </w:p>
    <w:p w:rsidR="00764D27" w:rsidRDefault="00764D27" w:rsidP="00764D27">
      <w:pPr>
        <w:spacing w:before="100"/>
        <w:jc w:val="both"/>
        <w:rPr>
          <w:rFonts w:ascii="Verdana" w:hAnsi="Verdana"/>
          <w:sz w:val="20"/>
          <w:szCs w:val="20"/>
        </w:rPr>
      </w:pPr>
      <w:r>
        <w:rPr>
          <w:rFonts w:ascii="Verdana" w:hAnsi="Verdana"/>
          <w:sz w:val="20"/>
          <w:szCs w:val="20"/>
        </w:rPr>
        <w:t>Σημειώνεται ότι η ρύθμιση αφορά δημοσίους υπαλλήλους και όχι καθηγητές (ή λέκτορες) ΑΕΙ για τους οποίους ισχύουν οι ειδικότερες διατάξεις που ρυθμίζουν το καθεστώς τους. Άλλωστε ούτε και οι καταργηθείσες διατάξεις του Ν.3966/2011 (Α 118) αφορούσαν καθηγητές ΑΕΙ (που ρυθμίζονταν από τις ειδικότερες περί αυτών διατάξεις) αλλά μόνο δημοσίους υπαλλήλους.</w:t>
      </w:r>
    </w:p>
    <w:p w:rsidR="00764D27" w:rsidRDefault="00764D27" w:rsidP="00764D27">
      <w:pPr>
        <w:jc w:val="right"/>
        <w:rPr>
          <w:rFonts w:ascii="Verdana" w:hAnsi="Verdana"/>
          <w:sz w:val="20"/>
          <w:szCs w:val="20"/>
        </w:rPr>
      </w:pPr>
      <w:r>
        <w:rPr>
          <w:rFonts w:ascii="Verdana" w:hAnsi="Verdana"/>
          <w:sz w:val="20"/>
          <w:szCs w:val="20"/>
        </w:rPr>
        <w:t xml:space="preserve">Η ΕΙΔΙΚΗ ΓΡΑΜΜΑΤΕΑΣ </w:t>
      </w:r>
    </w:p>
    <w:p w:rsidR="00764D27" w:rsidRDefault="00764D27" w:rsidP="00764D27">
      <w:pPr>
        <w:jc w:val="right"/>
        <w:rPr>
          <w:rFonts w:ascii="Verdana" w:hAnsi="Verdana"/>
          <w:sz w:val="20"/>
          <w:szCs w:val="20"/>
        </w:rPr>
      </w:pPr>
      <w:r>
        <w:rPr>
          <w:rFonts w:ascii="Verdana" w:hAnsi="Verdana"/>
          <w:sz w:val="20"/>
          <w:szCs w:val="20"/>
        </w:rPr>
        <w:t>ΕΥΡΩΠΑΪΚΩΝ ΠΟΡΩΝ</w:t>
      </w:r>
    </w:p>
    <w:p w:rsidR="00764D27" w:rsidRDefault="00764D27" w:rsidP="00764D27">
      <w:pPr>
        <w:jc w:val="right"/>
        <w:rPr>
          <w:rFonts w:ascii="Verdana" w:hAnsi="Verdana"/>
          <w:sz w:val="20"/>
          <w:szCs w:val="20"/>
        </w:rPr>
      </w:pPr>
    </w:p>
    <w:p w:rsidR="00764D27" w:rsidRDefault="00764D27" w:rsidP="00764D27">
      <w:pPr>
        <w:jc w:val="right"/>
        <w:rPr>
          <w:rFonts w:ascii="Verdana" w:hAnsi="Verdana"/>
          <w:sz w:val="20"/>
          <w:szCs w:val="20"/>
        </w:rPr>
      </w:pPr>
    </w:p>
    <w:p w:rsidR="00764D27" w:rsidRPr="00764D27" w:rsidRDefault="00764D27" w:rsidP="00764D27">
      <w:pPr>
        <w:jc w:val="right"/>
        <w:rPr>
          <w:rFonts w:ascii="Verdana" w:hAnsi="Verdana"/>
          <w:sz w:val="20"/>
          <w:szCs w:val="20"/>
        </w:rPr>
      </w:pPr>
      <w:r>
        <w:rPr>
          <w:rFonts w:ascii="Verdana" w:hAnsi="Verdana"/>
          <w:sz w:val="20"/>
          <w:szCs w:val="20"/>
        </w:rPr>
        <w:t>ΙΦΙΓΕΝΕΙΑ ΟΡΦΑΝΟΥ</w:t>
      </w:r>
    </w:p>
    <w:sectPr w:rsidR="00764D27" w:rsidRPr="00764D27" w:rsidSect="0029362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 w:name="Arial">
    <w:panose1 w:val="020B0604020202020204"/>
    <w:charset w:val="A1"/>
    <w:family w:val="swiss"/>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Franklin Gothic Heavy">
    <w:panose1 w:val="020B0903020102020204"/>
    <w:charset w:val="A1"/>
    <w:family w:val="swiss"/>
    <w:pitch w:val="variable"/>
    <w:sig w:usb0="00000287" w:usb1="00000000" w:usb2="00000000" w:usb3="00000000" w:csb0="0000009F" w:csb1="00000000"/>
  </w:font>
  <w:font w:name="Verdana">
    <w:panose1 w:val="020B0604030504040204"/>
    <w:charset w:val="A1"/>
    <w:family w:val="swiss"/>
    <w:pitch w:val="variable"/>
    <w:sig w:usb0="20000287" w:usb1="00000000" w:usb2="00000000" w:usb3="00000000" w:csb0="0000019F" w:csb1="00000000"/>
  </w:font>
  <w:font w:name="Tahoma">
    <w:panose1 w:val="020B0604030504040204"/>
    <w:charset w:val="A1"/>
    <w:family w:val="swiss"/>
    <w:pitch w:val="variable"/>
    <w:sig w:usb0="61002A87" w:usb1="80000000" w:usb2="00000008" w:usb3="00000000" w:csb0="000101FF" w:csb1="00000000"/>
  </w:font>
  <w:font w:name="Calibri (Vietnamese)">
    <w:altName w:val="Arial"/>
    <w:panose1 w:val="00000000000000000000"/>
    <w:charset w:val="A3"/>
    <w:family w:val="swiss"/>
    <w:notTrueType/>
    <w:pitch w:val="variable"/>
    <w:sig w:usb0="20000001" w:usb1="00000000" w:usb2="00000000" w:usb3="00000000" w:csb0="000001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961"/>
    <w:multiLevelType w:val="hybridMultilevel"/>
    <w:tmpl w:val="ECAC0B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2806605"/>
    <w:multiLevelType w:val="hybridMultilevel"/>
    <w:tmpl w:val="2B000C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7B0665F"/>
    <w:multiLevelType w:val="hybridMultilevel"/>
    <w:tmpl w:val="028E6D9C"/>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F1F299A"/>
    <w:multiLevelType w:val="multilevel"/>
    <w:tmpl w:val="6E52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1C3CF4"/>
    <w:multiLevelType w:val="hybridMultilevel"/>
    <w:tmpl w:val="F56E20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93C02DA"/>
    <w:multiLevelType w:val="multilevel"/>
    <w:tmpl w:val="3A26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A755F81"/>
    <w:multiLevelType w:val="multilevel"/>
    <w:tmpl w:val="ED685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
    <w:nsid w:val="70E3788B"/>
    <w:multiLevelType w:val="multilevel"/>
    <w:tmpl w:val="693C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982383C"/>
    <w:multiLevelType w:val="hybridMultilevel"/>
    <w:tmpl w:val="210659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4"/>
  </w:num>
  <w:num w:numId="9">
    <w:abstractNumId w:val="2"/>
  </w:num>
  <w:num w:numId="10">
    <w:abstractNumId w:val="0"/>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A460B"/>
    <w:rsid w:val="00057D1A"/>
    <w:rsid w:val="00173635"/>
    <w:rsid w:val="001E3115"/>
    <w:rsid w:val="002642E1"/>
    <w:rsid w:val="00286804"/>
    <w:rsid w:val="00293628"/>
    <w:rsid w:val="002F47EF"/>
    <w:rsid w:val="00324AC1"/>
    <w:rsid w:val="0033653A"/>
    <w:rsid w:val="00436AE8"/>
    <w:rsid w:val="004E12D0"/>
    <w:rsid w:val="0051686F"/>
    <w:rsid w:val="005210E9"/>
    <w:rsid w:val="00584395"/>
    <w:rsid w:val="006B2F92"/>
    <w:rsid w:val="007164B1"/>
    <w:rsid w:val="00764D27"/>
    <w:rsid w:val="007A46C3"/>
    <w:rsid w:val="00885DD6"/>
    <w:rsid w:val="00913455"/>
    <w:rsid w:val="009E35BB"/>
    <w:rsid w:val="00A9684F"/>
    <w:rsid w:val="00AE6123"/>
    <w:rsid w:val="00BB456E"/>
    <w:rsid w:val="00C85653"/>
    <w:rsid w:val="00D207E5"/>
    <w:rsid w:val="00D23041"/>
    <w:rsid w:val="00DF67BD"/>
    <w:rsid w:val="00E050D9"/>
    <w:rsid w:val="00F60BD5"/>
    <w:rsid w:val="00FA460B"/>
    <w:rsid w:val="00FF66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2D0"/>
    <w:rPr>
      <w:sz w:val="24"/>
      <w:szCs w:val="24"/>
    </w:rPr>
  </w:style>
  <w:style w:type="paragraph" w:styleId="1">
    <w:name w:val="heading 1"/>
    <w:basedOn w:val="a"/>
    <w:next w:val="a"/>
    <w:link w:val="1Char"/>
    <w:qFormat/>
    <w:rsid w:val="004E12D0"/>
    <w:pPr>
      <w:keepNext/>
      <w:outlineLvl w:val="0"/>
    </w:pPr>
    <w:rPr>
      <w:b/>
      <w:sz w:val="22"/>
    </w:rPr>
  </w:style>
  <w:style w:type="paragraph" w:styleId="2">
    <w:name w:val="heading 2"/>
    <w:basedOn w:val="a"/>
    <w:next w:val="a"/>
    <w:link w:val="2Char"/>
    <w:qFormat/>
    <w:rsid w:val="004E12D0"/>
    <w:pPr>
      <w:keepNext/>
      <w:jc w:val="both"/>
      <w:outlineLvl w:val="1"/>
    </w:pPr>
    <w:rPr>
      <w:rFonts w:ascii="Cambria" w:eastAsiaTheme="majorEastAsia" w:hAnsi="Cambria" w:cstheme="majorBidi"/>
      <w:b/>
    </w:rPr>
  </w:style>
  <w:style w:type="paragraph" w:styleId="3">
    <w:name w:val="heading 3"/>
    <w:aliases w:val="3 bullet,b,2,bullet,B1,SECOND,Second,h3,b1,bullet pt,6 bullet,List 1,H3,H31,Level 1 - 1"/>
    <w:basedOn w:val="a"/>
    <w:next w:val="a"/>
    <w:link w:val="3Char"/>
    <w:qFormat/>
    <w:rsid w:val="004E12D0"/>
    <w:pPr>
      <w:keepNext/>
      <w:spacing w:before="240" w:after="240"/>
      <w:jc w:val="both"/>
      <w:outlineLvl w:val="2"/>
    </w:pPr>
    <w:rPr>
      <w:rFonts w:ascii="Cambria" w:hAnsi="Cambria" w:cs="Arial"/>
      <w:b/>
      <w:i/>
      <w:sz w:val="22"/>
    </w:rPr>
  </w:style>
  <w:style w:type="paragraph" w:styleId="4">
    <w:name w:val="heading 4"/>
    <w:aliases w:val="επι,h4"/>
    <w:basedOn w:val="a"/>
    <w:next w:val="a"/>
    <w:link w:val="4Char"/>
    <w:qFormat/>
    <w:rsid w:val="004E12D0"/>
    <w:pPr>
      <w:keepNext/>
      <w:spacing w:before="120" w:after="120"/>
      <w:ind w:left="720"/>
      <w:jc w:val="both"/>
      <w:outlineLvl w:val="3"/>
    </w:pPr>
    <w:rPr>
      <w:rFonts w:ascii="Calibri" w:hAnsi="Calibri" w:cs="Franklin Gothic Heavy"/>
      <w:b/>
      <w:bCs/>
      <w:i/>
      <w:iCs/>
      <w:color w:val="17365D"/>
      <w:sz w:val="22"/>
    </w:rPr>
  </w:style>
  <w:style w:type="paragraph" w:styleId="5">
    <w:name w:val="heading 5"/>
    <w:basedOn w:val="a"/>
    <w:next w:val="a"/>
    <w:link w:val="5Char"/>
    <w:qFormat/>
    <w:rsid w:val="004E12D0"/>
    <w:pPr>
      <w:keepNext/>
      <w:outlineLvl w:val="4"/>
    </w:pPr>
    <w:rPr>
      <w:rFonts w:eastAsiaTheme="minorEastAsia" w:cstheme="minorBidi"/>
      <w:b/>
      <w:sz w:val="28"/>
    </w:rPr>
  </w:style>
  <w:style w:type="paragraph" w:styleId="6">
    <w:name w:val="heading 6"/>
    <w:basedOn w:val="a"/>
    <w:next w:val="a"/>
    <w:link w:val="6Char"/>
    <w:qFormat/>
    <w:rsid w:val="004E12D0"/>
    <w:pPr>
      <w:keepNext/>
      <w:jc w:val="center"/>
      <w:outlineLvl w:val="5"/>
    </w:pPr>
    <w:rPr>
      <w:rFonts w:cs="Verdana"/>
      <w:b/>
    </w:rPr>
  </w:style>
  <w:style w:type="paragraph" w:styleId="7">
    <w:name w:val="heading 7"/>
    <w:basedOn w:val="a"/>
    <w:next w:val="a"/>
    <w:link w:val="7Char"/>
    <w:qFormat/>
    <w:rsid w:val="004E12D0"/>
    <w:pPr>
      <w:keepNext/>
      <w:ind w:left="1872"/>
      <w:outlineLvl w:val="6"/>
    </w:pPr>
    <w:rPr>
      <w:b/>
      <w:bCs/>
      <w:u w:val="single"/>
    </w:rPr>
  </w:style>
  <w:style w:type="paragraph" w:styleId="8">
    <w:name w:val="heading 8"/>
    <w:basedOn w:val="a"/>
    <w:next w:val="a"/>
    <w:link w:val="8Char"/>
    <w:qFormat/>
    <w:rsid w:val="004E12D0"/>
    <w:pPr>
      <w:spacing w:before="240" w:after="60"/>
      <w:outlineLvl w:val="7"/>
    </w:pPr>
    <w:rPr>
      <w:i/>
      <w:iCs/>
    </w:rPr>
  </w:style>
  <w:style w:type="paragraph" w:styleId="9">
    <w:name w:val="heading 9"/>
    <w:basedOn w:val="a"/>
    <w:next w:val="a"/>
    <w:link w:val="9Char"/>
    <w:qFormat/>
    <w:rsid w:val="004E12D0"/>
    <w:pPr>
      <w:keepNext/>
      <w:tabs>
        <w:tab w:val="center" w:pos="1985"/>
        <w:tab w:val="center" w:pos="6521"/>
      </w:tabs>
      <w:outlineLvl w:val="8"/>
    </w:pPr>
    <w:rPr>
      <w:rFonts w:ascii="Tahoma" w:hAnsi="Tahoma"/>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E35BB"/>
    <w:rPr>
      <w:b/>
      <w:sz w:val="22"/>
      <w:szCs w:val="24"/>
    </w:rPr>
  </w:style>
  <w:style w:type="character" w:customStyle="1" w:styleId="3Char">
    <w:name w:val="Επικεφαλίδα 3 Char"/>
    <w:aliases w:val="3 bullet Char,b Char,2 Char,bullet Char,B1 Char,SECOND Char,Second Char,h3 Char,b1 Char,bullet pt Char,6 bullet Char,List 1 Char,H3 Char,H31 Char,Level 1 - 1 Char"/>
    <w:basedOn w:val="a0"/>
    <w:link w:val="3"/>
    <w:rsid w:val="009E35BB"/>
    <w:rPr>
      <w:rFonts w:ascii="Cambria" w:hAnsi="Cambria" w:cs="Arial"/>
      <w:b/>
      <w:i/>
      <w:sz w:val="22"/>
      <w:szCs w:val="24"/>
    </w:rPr>
  </w:style>
  <w:style w:type="character" w:customStyle="1" w:styleId="4Char">
    <w:name w:val="Επικεφαλίδα 4 Char"/>
    <w:aliases w:val="επι Char,h4 Char"/>
    <w:basedOn w:val="a0"/>
    <w:link w:val="4"/>
    <w:rsid w:val="009E35BB"/>
    <w:rPr>
      <w:rFonts w:ascii="Calibri" w:hAnsi="Calibri" w:cs="Franklin Gothic Heavy"/>
      <w:b/>
      <w:bCs/>
      <w:i/>
      <w:iCs/>
      <w:color w:val="17365D"/>
      <w:sz w:val="22"/>
      <w:szCs w:val="24"/>
    </w:rPr>
  </w:style>
  <w:style w:type="character" w:customStyle="1" w:styleId="6Char">
    <w:name w:val="Επικεφαλίδα 6 Char"/>
    <w:basedOn w:val="a0"/>
    <w:link w:val="6"/>
    <w:rsid w:val="009E35BB"/>
    <w:rPr>
      <w:rFonts w:cs="Verdana"/>
      <w:b/>
      <w:sz w:val="24"/>
      <w:szCs w:val="24"/>
    </w:rPr>
  </w:style>
  <w:style w:type="character" w:styleId="a3">
    <w:name w:val="Strong"/>
    <w:uiPriority w:val="22"/>
    <w:qFormat/>
    <w:rsid w:val="004E12D0"/>
    <w:rPr>
      <w:b/>
      <w:bCs/>
    </w:rPr>
  </w:style>
  <w:style w:type="paragraph" w:styleId="a4">
    <w:name w:val="No Spacing"/>
    <w:basedOn w:val="a"/>
    <w:link w:val="Char"/>
    <w:uiPriority w:val="1"/>
    <w:qFormat/>
    <w:rsid w:val="009E35BB"/>
  </w:style>
  <w:style w:type="paragraph" w:styleId="a5">
    <w:name w:val="List Paragraph"/>
    <w:basedOn w:val="a"/>
    <w:uiPriority w:val="34"/>
    <w:qFormat/>
    <w:rsid w:val="009E35BB"/>
    <w:pPr>
      <w:ind w:left="720"/>
    </w:pPr>
  </w:style>
  <w:style w:type="character" w:styleId="a6">
    <w:name w:val="Subtle Emphasis"/>
    <w:uiPriority w:val="19"/>
    <w:qFormat/>
    <w:rsid w:val="009E35BB"/>
    <w:rPr>
      <w:i/>
      <w:iCs/>
      <w:color w:val="808080" w:themeColor="text1" w:themeTint="7F"/>
    </w:rPr>
  </w:style>
  <w:style w:type="character" w:customStyle="1" w:styleId="2Char">
    <w:name w:val="Επικεφαλίδα 2 Char"/>
    <w:basedOn w:val="a0"/>
    <w:link w:val="2"/>
    <w:rsid w:val="009E35BB"/>
    <w:rPr>
      <w:rFonts w:ascii="Cambria" w:eastAsiaTheme="majorEastAsia" w:hAnsi="Cambria" w:cstheme="majorBidi"/>
      <w:b/>
      <w:sz w:val="24"/>
      <w:szCs w:val="24"/>
    </w:rPr>
  </w:style>
  <w:style w:type="character" w:customStyle="1" w:styleId="5Char">
    <w:name w:val="Επικεφαλίδα 5 Char"/>
    <w:basedOn w:val="a0"/>
    <w:link w:val="5"/>
    <w:rsid w:val="009E35BB"/>
    <w:rPr>
      <w:rFonts w:eastAsiaTheme="minorEastAsia" w:cstheme="minorBidi"/>
      <w:b/>
      <w:sz w:val="28"/>
      <w:szCs w:val="24"/>
    </w:rPr>
  </w:style>
  <w:style w:type="character" w:customStyle="1" w:styleId="7Char">
    <w:name w:val="Επικεφαλίδα 7 Char"/>
    <w:basedOn w:val="a0"/>
    <w:link w:val="7"/>
    <w:rsid w:val="009E35BB"/>
    <w:rPr>
      <w:b/>
      <w:bCs/>
      <w:sz w:val="24"/>
      <w:szCs w:val="24"/>
      <w:u w:val="single"/>
    </w:rPr>
  </w:style>
  <w:style w:type="character" w:customStyle="1" w:styleId="8Char">
    <w:name w:val="Επικεφαλίδα 8 Char"/>
    <w:basedOn w:val="a0"/>
    <w:link w:val="8"/>
    <w:rsid w:val="009E35BB"/>
    <w:rPr>
      <w:i/>
      <w:iCs/>
      <w:sz w:val="24"/>
      <w:szCs w:val="24"/>
    </w:rPr>
  </w:style>
  <w:style w:type="character" w:customStyle="1" w:styleId="9Char">
    <w:name w:val="Επικεφαλίδα 9 Char"/>
    <w:basedOn w:val="a0"/>
    <w:link w:val="9"/>
    <w:rsid w:val="009E35BB"/>
    <w:rPr>
      <w:rFonts w:ascii="Tahoma" w:hAnsi="Tahoma"/>
      <w:b/>
      <w:sz w:val="24"/>
      <w:szCs w:val="24"/>
    </w:rPr>
  </w:style>
  <w:style w:type="paragraph" w:styleId="10">
    <w:name w:val="toc 1"/>
    <w:basedOn w:val="a"/>
    <w:next w:val="a"/>
    <w:autoRedefine/>
    <w:uiPriority w:val="39"/>
    <w:unhideWhenUsed/>
    <w:rsid w:val="009E35BB"/>
    <w:pPr>
      <w:spacing w:after="100"/>
    </w:pPr>
  </w:style>
  <w:style w:type="paragraph" w:styleId="20">
    <w:name w:val="toc 2"/>
    <w:basedOn w:val="a"/>
    <w:next w:val="a"/>
    <w:autoRedefine/>
    <w:uiPriority w:val="39"/>
    <w:unhideWhenUsed/>
    <w:rsid w:val="009E35BB"/>
    <w:pPr>
      <w:spacing w:after="100"/>
      <w:ind w:left="220"/>
    </w:pPr>
  </w:style>
  <w:style w:type="paragraph" w:styleId="30">
    <w:name w:val="toc 3"/>
    <w:basedOn w:val="a"/>
    <w:next w:val="a"/>
    <w:autoRedefine/>
    <w:uiPriority w:val="39"/>
    <w:unhideWhenUsed/>
    <w:rsid w:val="009E35BB"/>
    <w:pPr>
      <w:spacing w:after="100"/>
      <w:ind w:left="440"/>
    </w:pPr>
  </w:style>
  <w:style w:type="paragraph" w:styleId="a7">
    <w:name w:val="caption"/>
    <w:basedOn w:val="a"/>
    <w:next w:val="a"/>
    <w:semiHidden/>
    <w:unhideWhenUsed/>
    <w:qFormat/>
    <w:rsid w:val="009E35BB"/>
    <w:rPr>
      <w:b/>
      <w:bCs/>
      <w:sz w:val="20"/>
      <w:szCs w:val="20"/>
    </w:rPr>
  </w:style>
  <w:style w:type="paragraph" w:styleId="a8">
    <w:name w:val="Title"/>
    <w:basedOn w:val="a"/>
    <w:next w:val="a"/>
    <w:link w:val="Char0"/>
    <w:qFormat/>
    <w:rsid w:val="009E35BB"/>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0">
    <w:name w:val="Τίτλος Char"/>
    <w:basedOn w:val="a0"/>
    <w:link w:val="a8"/>
    <w:rsid w:val="009E35BB"/>
    <w:rPr>
      <w:rFonts w:asciiTheme="majorHAnsi" w:eastAsiaTheme="majorEastAsia" w:hAnsiTheme="majorHAnsi" w:cstheme="majorBidi"/>
      <w:b/>
      <w:bCs/>
      <w:kern w:val="28"/>
      <w:sz w:val="32"/>
      <w:szCs w:val="32"/>
    </w:rPr>
  </w:style>
  <w:style w:type="paragraph" w:styleId="a9">
    <w:name w:val="Subtitle"/>
    <w:basedOn w:val="a"/>
    <w:next w:val="a"/>
    <w:link w:val="Char1"/>
    <w:qFormat/>
    <w:rsid w:val="009E35BB"/>
    <w:pPr>
      <w:spacing w:after="60"/>
      <w:jc w:val="center"/>
      <w:outlineLvl w:val="1"/>
    </w:pPr>
    <w:rPr>
      <w:rFonts w:asciiTheme="majorHAnsi" w:eastAsiaTheme="majorEastAsia" w:hAnsiTheme="majorHAnsi" w:cstheme="majorBidi"/>
    </w:rPr>
  </w:style>
  <w:style w:type="character" w:customStyle="1" w:styleId="Char1">
    <w:name w:val="Υπότιτλος Char"/>
    <w:basedOn w:val="a0"/>
    <w:link w:val="a9"/>
    <w:rsid w:val="009E35BB"/>
    <w:rPr>
      <w:rFonts w:asciiTheme="majorHAnsi" w:eastAsiaTheme="majorEastAsia" w:hAnsiTheme="majorHAnsi" w:cstheme="majorBidi"/>
      <w:sz w:val="24"/>
      <w:szCs w:val="24"/>
    </w:rPr>
  </w:style>
  <w:style w:type="character" w:styleId="aa">
    <w:name w:val="Emphasis"/>
    <w:qFormat/>
    <w:rsid w:val="004E12D0"/>
    <w:rPr>
      <w:i/>
      <w:iCs/>
    </w:rPr>
  </w:style>
  <w:style w:type="character" w:customStyle="1" w:styleId="Char">
    <w:name w:val="Χωρίς διάστιχο Char"/>
    <w:basedOn w:val="a0"/>
    <w:link w:val="a4"/>
    <w:uiPriority w:val="1"/>
    <w:rsid w:val="009E35BB"/>
    <w:rPr>
      <w:sz w:val="24"/>
      <w:szCs w:val="24"/>
    </w:rPr>
  </w:style>
  <w:style w:type="paragraph" w:styleId="ab">
    <w:name w:val="Quote"/>
    <w:basedOn w:val="a"/>
    <w:next w:val="a"/>
    <w:link w:val="Char2"/>
    <w:uiPriority w:val="29"/>
    <w:qFormat/>
    <w:rsid w:val="009E35BB"/>
    <w:rPr>
      <w:i/>
      <w:iCs/>
      <w:color w:val="000000" w:themeColor="text1"/>
    </w:rPr>
  </w:style>
  <w:style w:type="character" w:customStyle="1" w:styleId="Char2">
    <w:name w:val="Απόσπασμα Char"/>
    <w:basedOn w:val="a0"/>
    <w:link w:val="ab"/>
    <w:uiPriority w:val="29"/>
    <w:rsid w:val="009E35BB"/>
    <w:rPr>
      <w:i/>
      <w:iCs/>
      <w:color w:val="000000" w:themeColor="text1"/>
      <w:sz w:val="24"/>
      <w:szCs w:val="24"/>
    </w:rPr>
  </w:style>
  <w:style w:type="paragraph" w:styleId="ac">
    <w:name w:val="Intense Quote"/>
    <w:basedOn w:val="a"/>
    <w:next w:val="a"/>
    <w:link w:val="Char3"/>
    <w:uiPriority w:val="30"/>
    <w:qFormat/>
    <w:rsid w:val="009E35BB"/>
    <w:pPr>
      <w:pBdr>
        <w:bottom w:val="single" w:sz="4" w:space="4" w:color="4F81BD" w:themeColor="accent1"/>
      </w:pBdr>
      <w:spacing w:before="200" w:after="280"/>
      <w:ind w:left="936" w:right="936"/>
    </w:pPr>
    <w:rPr>
      <w:b/>
      <w:bCs/>
      <w:i/>
      <w:iCs/>
      <w:color w:val="4F81BD" w:themeColor="accent1"/>
    </w:rPr>
  </w:style>
  <w:style w:type="character" w:customStyle="1" w:styleId="Char3">
    <w:name w:val="Έντονο εισαγωγικό Char"/>
    <w:basedOn w:val="a0"/>
    <w:link w:val="ac"/>
    <w:uiPriority w:val="30"/>
    <w:rsid w:val="009E35BB"/>
    <w:rPr>
      <w:b/>
      <w:bCs/>
      <w:i/>
      <w:iCs/>
      <w:color w:val="4F81BD" w:themeColor="accent1"/>
      <w:sz w:val="24"/>
      <w:szCs w:val="24"/>
    </w:rPr>
  </w:style>
  <w:style w:type="character" w:styleId="ad">
    <w:name w:val="Intense Emphasis"/>
    <w:uiPriority w:val="21"/>
    <w:qFormat/>
    <w:rsid w:val="009E35BB"/>
    <w:rPr>
      <w:b/>
      <w:bCs/>
      <w:i/>
      <w:iCs/>
      <w:color w:val="4F81BD" w:themeColor="accent1"/>
    </w:rPr>
  </w:style>
  <w:style w:type="character" w:styleId="ae">
    <w:name w:val="Subtle Reference"/>
    <w:uiPriority w:val="31"/>
    <w:qFormat/>
    <w:rsid w:val="009E35BB"/>
    <w:rPr>
      <w:smallCaps/>
      <w:color w:val="C0504D" w:themeColor="accent2"/>
      <w:u w:val="single"/>
    </w:rPr>
  </w:style>
  <w:style w:type="character" w:styleId="af">
    <w:name w:val="Intense Reference"/>
    <w:uiPriority w:val="32"/>
    <w:qFormat/>
    <w:rsid w:val="009E35BB"/>
    <w:rPr>
      <w:b/>
      <w:bCs/>
      <w:smallCaps/>
      <w:color w:val="C0504D" w:themeColor="accent2"/>
      <w:spacing w:val="5"/>
      <w:u w:val="single"/>
    </w:rPr>
  </w:style>
  <w:style w:type="character" w:styleId="af0">
    <w:name w:val="Book Title"/>
    <w:uiPriority w:val="33"/>
    <w:qFormat/>
    <w:rsid w:val="009E35BB"/>
    <w:rPr>
      <w:b/>
      <w:bCs/>
      <w:smallCaps/>
      <w:spacing w:val="5"/>
    </w:rPr>
  </w:style>
  <w:style w:type="paragraph" w:styleId="af1">
    <w:name w:val="TOC Heading"/>
    <w:basedOn w:val="1"/>
    <w:next w:val="a"/>
    <w:uiPriority w:val="39"/>
    <w:semiHidden/>
    <w:unhideWhenUsed/>
    <w:qFormat/>
    <w:rsid w:val="004E12D0"/>
    <w:pPr>
      <w:keepLines/>
      <w:spacing w:before="480" w:line="276" w:lineRule="auto"/>
      <w:outlineLvl w:val="9"/>
    </w:pPr>
    <w:rPr>
      <w:rFonts w:ascii="Cambria" w:hAnsi="Cambria"/>
      <w:bCs/>
      <w:color w:val="365F91"/>
      <w:sz w:val="28"/>
      <w:szCs w:val="28"/>
      <w:lang w:eastAsia="en-US"/>
    </w:rPr>
  </w:style>
  <w:style w:type="character" w:styleId="-">
    <w:name w:val="Hyperlink"/>
    <w:basedOn w:val="a0"/>
    <w:uiPriority w:val="99"/>
    <w:semiHidden/>
    <w:unhideWhenUsed/>
    <w:rsid w:val="00FA460B"/>
    <w:rPr>
      <w:color w:val="0000FF"/>
      <w:u w:val="single"/>
    </w:rPr>
  </w:style>
  <w:style w:type="paragraph" w:styleId="af2">
    <w:name w:val="Balloon Text"/>
    <w:basedOn w:val="a"/>
    <w:link w:val="Char4"/>
    <w:uiPriority w:val="99"/>
    <w:semiHidden/>
    <w:unhideWhenUsed/>
    <w:rsid w:val="006B2F92"/>
    <w:rPr>
      <w:rFonts w:ascii="Tahoma" w:hAnsi="Tahoma" w:cs="Tahoma"/>
      <w:sz w:val="16"/>
      <w:szCs w:val="16"/>
    </w:rPr>
  </w:style>
  <w:style w:type="character" w:customStyle="1" w:styleId="Char4">
    <w:name w:val="Κείμενο πλαισίου Char"/>
    <w:basedOn w:val="a0"/>
    <w:link w:val="af2"/>
    <w:uiPriority w:val="99"/>
    <w:semiHidden/>
    <w:rsid w:val="006B2F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41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876</Words>
  <Characters>4731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Φαίη</dc:creator>
  <cp:lastModifiedBy>user</cp:lastModifiedBy>
  <cp:revision>3</cp:revision>
  <dcterms:created xsi:type="dcterms:W3CDTF">2012-04-19T14:03:00Z</dcterms:created>
  <dcterms:modified xsi:type="dcterms:W3CDTF">2012-04-19T14:03:00Z</dcterms:modified>
</cp:coreProperties>
</file>